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2FDBE9">
      <w:pPr>
        <w:autoSpaceDE w:val="0"/>
        <w:spacing w:line="560" w:lineRule="exact"/>
        <w:rPr>
          <w:rFonts w:hint="eastAsia"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附件2</w:t>
      </w:r>
    </w:p>
    <w:p w14:paraId="6082DBBE">
      <w:pPr>
        <w:autoSpaceDE w:val="0"/>
        <w:spacing w:line="560" w:lineRule="exact"/>
        <w:jc w:val="center"/>
        <w:rPr>
          <w:rFonts w:hint="eastAsia" w:ascii="方正小标宋简体" w:hAnsi="方正小标宋简体" w:eastAsia="方正小标宋简体" w:cs="方正小标宋_GBK"/>
          <w:color w:val="333333"/>
          <w:sz w:val="44"/>
          <w:szCs w:val="44"/>
          <w:shd w:val="clear" w:color="auto" w:fill="FFFFFF"/>
        </w:rPr>
      </w:pPr>
    </w:p>
    <w:p w14:paraId="420CE831">
      <w:pPr>
        <w:autoSpaceDE w:val="0"/>
        <w:spacing w:line="560" w:lineRule="exact"/>
        <w:jc w:val="center"/>
        <w:rPr>
          <w:rFonts w:hint="eastAsia" w:ascii="方正小标宋简体" w:hAnsi="方正小标宋简体" w:eastAsia="方正小标宋简体" w:cs="方正小标宋_GBK"/>
          <w:color w:val="333333"/>
          <w:sz w:val="44"/>
          <w:szCs w:val="44"/>
          <w:shd w:val="clear" w:color="auto" w:fill="FFFFFF"/>
        </w:rPr>
      </w:pPr>
      <w:r>
        <w:rPr>
          <w:rFonts w:hint="eastAsia" w:ascii="方正小标宋简体" w:hAnsi="方正小标宋简体" w:eastAsia="方正小标宋简体" w:cs="方正小标宋_GBK"/>
          <w:color w:val="333333"/>
          <w:sz w:val="44"/>
          <w:szCs w:val="44"/>
          <w:shd w:val="clear" w:color="auto" w:fill="FFFFFF"/>
        </w:rPr>
        <w:t>2025年度江苏省教育科学规划课题</w:t>
      </w:r>
    </w:p>
    <w:p w14:paraId="4EEF8F24">
      <w:pPr>
        <w:autoSpaceDE w:val="0"/>
        <w:spacing w:line="560" w:lineRule="exact"/>
        <w:jc w:val="center"/>
        <w:rPr>
          <w:rFonts w:hint="eastAsia" w:ascii="黑体" w:hAnsi="黑体" w:eastAsia="黑体"/>
          <w:bCs/>
          <w:color w:val="000000"/>
          <w:sz w:val="32"/>
          <w:szCs w:val="32"/>
        </w:rPr>
      </w:pPr>
      <w:r>
        <w:rPr>
          <w:rFonts w:hint="eastAsia" w:ascii="方正小标宋简体" w:hAnsi="方正小标宋简体" w:eastAsia="方正小标宋简体" w:cs="方正小标宋_GBK"/>
          <w:color w:val="333333"/>
          <w:sz w:val="44"/>
          <w:szCs w:val="44"/>
          <w:shd w:val="clear" w:color="auto" w:fill="FFFFFF"/>
        </w:rPr>
        <w:t>主要研究领域</w:t>
      </w:r>
    </w:p>
    <w:p w14:paraId="26ACBBFD">
      <w:pPr>
        <w:adjustRightInd w:val="0"/>
        <w:snapToGrid w:val="0"/>
        <w:spacing w:line="560" w:lineRule="exact"/>
        <w:ind w:firstLine="640" w:firstLineChars="200"/>
        <w:rPr>
          <w:rFonts w:ascii="黑体" w:hAnsi="黑体" w:eastAsia="黑体"/>
          <w:bCs/>
          <w:color w:val="000000"/>
          <w:sz w:val="32"/>
          <w:szCs w:val="32"/>
        </w:rPr>
      </w:pPr>
    </w:p>
    <w:p w14:paraId="44C27A37">
      <w:pPr>
        <w:adjustRightInd w:val="0"/>
        <w:snapToGrid w:val="0"/>
        <w:spacing w:line="560" w:lineRule="exact"/>
        <w:ind w:firstLine="640" w:firstLineChars="200"/>
        <w:rPr>
          <w:rFonts w:hint="eastAsia" w:ascii="黑体" w:hAnsi="黑体" w:eastAsia="黑体"/>
          <w:bCs/>
          <w:color w:val="000000"/>
          <w:sz w:val="32"/>
          <w:szCs w:val="32"/>
        </w:rPr>
      </w:pPr>
      <w:r>
        <w:rPr>
          <w:rFonts w:hint="eastAsia" w:ascii="黑体" w:hAnsi="黑体" w:eastAsia="黑体"/>
          <w:bCs/>
          <w:color w:val="000000"/>
          <w:sz w:val="32"/>
          <w:szCs w:val="32"/>
        </w:rPr>
        <w:t>1.教育发展战略研究</w:t>
      </w:r>
    </w:p>
    <w:p w14:paraId="73D776A1">
      <w:pPr>
        <w:adjustRightInd w:val="0"/>
        <w:snapToGrid w:val="0"/>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习近平总书记关于教育</w:t>
      </w:r>
      <w:r>
        <w:rPr>
          <w:rFonts w:hint="eastAsia" w:ascii="仿宋_GB2312" w:hAnsi="仿宋_GB2312" w:eastAsia="仿宋_GB2312" w:cs="仿宋_GB2312"/>
          <w:color w:val="000000"/>
          <w:sz w:val="32"/>
          <w:szCs w:val="32"/>
          <w:lang w:eastAsia="zh-CN"/>
        </w:rPr>
        <w:t>的</w:t>
      </w:r>
      <w:r>
        <w:rPr>
          <w:rFonts w:hint="eastAsia" w:ascii="仿宋_GB2312" w:hAnsi="仿宋_GB2312" w:eastAsia="仿宋_GB2312" w:cs="仿宋_GB2312"/>
          <w:color w:val="000000"/>
          <w:sz w:val="32"/>
          <w:szCs w:val="32"/>
        </w:rPr>
        <w:t>重要论述的学理阐释研究；教育的政治属性、人民属性、战略属性研究；教育强国“六大特质”研究；八大体系与江苏教育强省建设研究；教育、科技、人才一体化推进建设研究；中小学学制改革研究；优质均衡进程中江苏大城市学前教育机构布局研究；江苏融合教育高质量发展指标体系建设研究；新时代高等教育评价改革优化背景下省属高校综合考核体系研究；新时代教育评价改革的区域实践研究；教育强省指标研制与实施途径研究；高质量教育体系建设研究；共同富裕与基本公共教育服务体系建设研究；义务教育优质均衡发展战略研究；义务教育城乡一体化建设的区域研究；统筹推进育人方式变革研究；高等学校优势学科建设研究；高等教育资源优化与结构布局战略研究；终身教育体制与机制建设研究等。</w:t>
      </w:r>
    </w:p>
    <w:p w14:paraId="2729F573">
      <w:pPr>
        <w:adjustRightInd w:val="0"/>
        <w:snapToGrid w:val="0"/>
        <w:spacing w:line="560" w:lineRule="exact"/>
        <w:ind w:firstLine="640" w:firstLineChars="200"/>
        <w:rPr>
          <w:rFonts w:hint="eastAsia" w:ascii="黑体" w:hAnsi="黑体" w:eastAsia="黑体"/>
          <w:b/>
          <w:color w:val="000000"/>
          <w:sz w:val="32"/>
          <w:szCs w:val="32"/>
        </w:rPr>
      </w:pPr>
      <w:r>
        <w:rPr>
          <w:rFonts w:hint="eastAsia" w:ascii="黑体" w:hAnsi="黑体" w:eastAsia="黑体"/>
          <w:bCs/>
          <w:color w:val="000000"/>
          <w:sz w:val="32"/>
          <w:szCs w:val="32"/>
        </w:rPr>
        <w:t>2.教育基本理论研究</w:t>
      </w:r>
    </w:p>
    <w:p w14:paraId="464F4CAC">
      <w:pPr>
        <w:adjustRightInd w:val="0"/>
        <w:snapToGrid w:val="0"/>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中国特色教育学学科体系、学术体系、话语体系研究；学科标识性概念、原创性理论等自主知识体系建设研究；中国式教育现代化道路研究；新中国成立以来的中国教育改革经验研究；素质教育实践的理论建构研究；教育在文化传承与创新中的基础作用研究；教育法制理论建设研究；教育数字化转型的哲学基础与理论创新研究等。</w:t>
      </w:r>
    </w:p>
    <w:p w14:paraId="5FC63811">
      <w:pPr>
        <w:adjustRightInd w:val="0"/>
        <w:snapToGrid w:val="0"/>
        <w:spacing w:line="560" w:lineRule="exact"/>
        <w:ind w:firstLine="640" w:firstLineChars="200"/>
        <w:rPr>
          <w:rFonts w:hint="eastAsia" w:ascii="黑体" w:hAnsi="黑体" w:eastAsia="黑体"/>
          <w:bCs/>
          <w:color w:val="000000"/>
          <w:sz w:val="32"/>
          <w:szCs w:val="32"/>
        </w:rPr>
      </w:pPr>
      <w:r>
        <w:rPr>
          <w:rFonts w:hint="eastAsia" w:ascii="黑体" w:hAnsi="黑体" w:eastAsia="黑体"/>
          <w:bCs/>
          <w:color w:val="000000"/>
          <w:sz w:val="32"/>
          <w:szCs w:val="32"/>
          <w:lang w:val="en-US" w:eastAsia="zh-CN"/>
        </w:rPr>
        <w:t>3</w:t>
      </w:r>
      <w:r>
        <w:rPr>
          <w:rFonts w:hint="eastAsia" w:ascii="黑体" w:hAnsi="黑体" w:eastAsia="黑体"/>
          <w:bCs/>
          <w:color w:val="000000"/>
          <w:sz w:val="32"/>
          <w:szCs w:val="32"/>
        </w:rPr>
        <w:t>.学校德育</w:t>
      </w:r>
      <w:r>
        <w:rPr>
          <w:rFonts w:hint="eastAsia" w:ascii="黑体" w:hAnsi="黑体" w:eastAsia="黑体"/>
          <w:bCs/>
          <w:color w:val="000000"/>
          <w:sz w:val="32"/>
          <w:szCs w:val="32"/>
          <w:lang w:val="en-US" w:eastAsia="zh-CN"/>
        </w:rPr>
        <w:t>与心理健康教育</w:t>
      </w:r>
      <w:r>
        <w:rPr>
          <w:rFonts w:hint="eastAsia" w:ascii="黑体" w:hAnsi="黑体" w:eastAsia="黑体"/>
          <w:bCs/>
          <w:color w:val="000000"/>
          <w:sz w:val="32"/>
          <w:szCs w:val="32"/>
        </w:rPr>
        <w:t>研究</w:t>
      </w:r>
    </w:p>
    <w:p w14:paraId="6AD5EF38">
      <w:pPr>
        <w:adjustRightInd w:val="0"/>
        <w:snapToGrid w:val="0"/>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习近平新时代中国特色社会主义思想为核心内容的课程教材体系建设研究；</w:t>
      </w:r>
      <w:r>
        <w:rPr>
          <w:rFonts w:hint="eastAsia" w:ascii="仿宋_GB2312" w:hAnsi="仿宋_GB2312" w:eastAsia="仿宋_GB2312" w:cs="仿宋_GB2312"/>
          <w:color w:val="000000"/>
          <w:sz w:val="32"/>
          <w:szCs w:val="32"/>
          <w:lang w:val="en-US" w:eastAsia="zh-CN"/>
        </w:rPr>
        <w:t>立德树人落实机制研究；</w:t>
      </w:r>
      <w:r>
        <w:rPr>
          <w:rFonts w:hint="eastAsia" w:ascii="仿宋_GB2312" w:hAnsi="仿宋_GB2312" w:eastAsia="仿宋_GB2312" w:cs="仿宋_GB2312"/>
          <w:color w:val="000000"/>
          <w:sz w:val="32"/>
          <w:szCs w:val="32"/>
        </w:rPr>
        <w:t>思政小课堂与社会大课堂的关系研究；“大思政课”数字化转型研究；实践育人、网络育人的空间和阵地研究；新时代学校思想政治实践育人路径研究；思政课教材建设研究；义务教育阶段班主任队伍建设研究；“教联体”建设研究；铸牢中华民族共同体意识教育研究；江苏省“大思政课”建设路径及实践运用研究；智能时代劳动教育新形态研究；网络环境下促进青少年健康成长的家社协同育人策略研究；数字时代青少年价值观研究；大学生社会责任感现状及其培养研究</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中小学心理健康</w:t>
      </w:r>
      <w:r>
        <w:rPr>
          <w:rFonts w:hint="eastAsia" w:ascii="仿宋_GB2312" w:hAnsi="仿宋_GB2312" w:eastAsia="仿宋_GB2312" w:cs="仿宋_GB2312"/>
          <w:color w:val="000000"/>
          <w:sz w:val="32"/>
          <w:szCs w:val="32"/>
          <w:lang w:val="en-US" w:eastAsia="zh-CN"/>
        </w:rPr>
        <w:t>教育体系研究；心理健康教育</w:t>
      </w:r>
      <w:r>
        <w:rPr>
          <w:rFonts w:hint="eastAsia" w:ascii="仿宋_GB2312" w:hAnsi="仿宋_GB2312" w:eastAsia="仿宋_GB2312" w:cs="仿宋_GB2312"/>
          <w:color w:val="000000"/>
          <w:sz w:val="32"/>
          <w:szCs w:val="32"/>
        </w:rPr>
        <w:t>课程</w:t>
      </w:r>
      <w:r>
        <w:rPr>
          <w:rFonts w:hint="eastAsia" w:ascii="仿宋_GB2312" w:hAnsi="仿宋_GB2312" w:eastAsia="仿宋_GB2312" w:cs="仿宋_GB2312"/>
          <w:color w:val="000000"/>
          <w:sz w:val="32"/>
          <w:szCs w:val="32"/>
          <w:lang w:val="en-US" w:eastAsia="zh-CN"/>
        </w:rPr>
        <w:t>研究；心理健康教育</w:t>
      </w:r>
      <w:r>
        <w:rPr>
          <w:rFonts w:hint="eastAsia" w:ascii="仿宋_GB2312" w:hAnsi="仿宋_GB2312" w:eastAsia="仿宋_GB2312" w:cs="仿宋_GB2312"/>
          <w:color w:val="000000"/>
          <w:sz w:val="32"/>
          <w:szCs w:val="32"/>
        </w:rPr>
        <w:t>师资队伍建设与培训研究；大中小学校心理健康教育的衔接与贯通研究；留守儿童和流动儿童的心理困境与关怀机制研究；江苏中小学生心理危机预警与干预体系优化研究；短视频、社交媒体对青少年心理健康的影响研究等。</w:t>
      </w:r>
    </w:p>
    <w:p w14:paraId="422B6E6D">
      <w:pPr>
        <w:adjustRightInd w:val="0"/>
        <w:snapToGrid w:val="0"/>
        <w:spacing w:line="560" w:lineRule="exact"/>
        <w:ind w:firstLine="640" w:firstLineChars="200"/>
        <w:rPr>
          <w:rFonts w:hint="eastAsia" w:ascii="仿宋" w:hAnsi="仿宋" w:eastAsia="黑体"/>
          <w:b/>
          <w:color w:val="000000"/>
          <w:sz w:val="32"/>
          <w:szCs w:val="32"/>
        </w:rPr>
      </w:pPr>
      <w:r>
        <w:rPr>
          <w:rFonts w:hint="eastAsia" w:ascii="黑体" w:hAnsi="黑体" w:eastAsia="黑体"/>
          <w:bCs/>
          <w:color w:val="000000"/>
          <w:sz w:val="32"/>
          <w:szCs w:val="32"/>
        </w:rPr>
        <w:t>4.基础教育研究</w:t>
      </w:r>
    </w:p>
    <w:p w14:paraId="74945151">
      <w:pPr>
        <w:adjustRightInd w:val="0"/>
        <w:snapToGrid w:val="0"/>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高质量因材施教研究；基础教育各学段学龄人口变化监测预警研究；义务教育优质均衡发展研究；中小学校标准化建设研究；“双减”政策实施效果与基础教育质量提升研究；专门学校建设和专门教育研究；小规模学校发展研究；义务教育阶段小班化教学研究；综合高中建设研究；科学高中建设研究；高中招生指标到校研究；集团化办学的历史审视与推进机制研究；省域高质量中小学实验教学体系构建研究；治理视角下区域推进基础教育课程教学改革的行动研究；义务教育课程方案转化落地的区域（校本）实践研究；中小学科学教育研究；普及中小学人工智能教育的实施路径研究；教育家精神的培养、弘扬与践行路径研究；新时代教师流动研究；普及普惠优质安全学前教育供给研究；特殊教育师资队伍培养和培训机制研究；随班就读机制和保障体系研究；随班就读学生课程调适策略与实施方式研究；融合教育机制与创新路径研究等。</w:t>
      </w:r>
    </w:p>
    <w:p w14:paraId="05535399">
      <w:pPr>
        <w:adjustRightInd w:val="0"/>
        <w:snapToGrid w:val="0"/>
        <w:spacing w:line="560" w:lineRule="exact"/>
        <w:ind w:firstLine="640" w:firstLineChars="200"/>
        <w:rPr>
          <w:rFonts w:hint="eastAsia" w:ascii="仿宋" w:hAnsi="仿宋" w:eastAsia="仿宋"/>
          <w:color w:val="000000"/>
          <w:sz w:val="32"/>
          <w:szCs w:val="32"/>
        </w:rPr>
      </w:pPr>
      <w:r>
        <w:rPr>
          <w:rFonts w:hint="eastAsia" w:ascii="黑体" w:hAnsi="黑体" w:eastAsia="黑体"/>
          <w:bCs/>
          <w:color w:val="000000"/>
          <w:sz w:val="32"/>
          <w:szCs w:val="32"/>
        </w:rPr>
        <w:t>5.职业教育研究</w:t>
      </w:r>
    </w:p>
    <w:p w14:paraId="68BABF10">
      <w:pPr>
        <w:adjustRightInd w:val="0"/>
        <w:snapToGrid w:val="0"/>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市域产教联合体运行体制机制创新研究；职业院校关键办学能力提升路径研究；职业教育产教融合新形态研究；中等职业教育与普通高中教育融合发展研究；中等职业学校与高等职业学校衔接培养研究；江苏“双师型”教师认证标准与培养体系优化研究；新双高建设背景下高职院校高质量发展研究；智能制造类现场工程师培养模式创新研究；现代产业学院建设模式与运行机制研究；职业院校师生数字化素养提升路径研究；人工智能技术赋能职业教育教学模式创新研究；职业教育数字化教学新生态构建的理论与实践研究；中国式职业教育现代化的内涵与特征研究；高质量发展背景下现代职业教育体系建设研究；职业教育专业结构与产业结构吻合度研究；新时代职业教育课程与教学改革研究；中国特色学徒制推进路径与机制研究；面向乡村振兴的职业教育改革与发展研究；新时代职业教育评价改革研究等。</w:t>
      </w:r>
    </w:p>
    <w:p w14:paraId="6EA88AEF">
      <w:pPr>
        <w:adjustRightInd w:val="0"/>
        <w:snapToGrid w:val="0"/>
        <w:spacing w:line="560" w:lineRule="exact"/>
        <w:ind w:firstLine="640" w:firstLineChars="200"/>
        <w:rPr>
          <w:rFonts w:hint="eastAsia" w:ascii="黑体" w:hAnsi="黑体" w:eastAsia="黑体"/>
          <w:bCs/>
          <w:color w:val="000000"/>
          <w:sz w:val="32"/>
          <w:szCs w:val="32"/>
        </w:rPr>
      </w:pPr>
      <w:r>
        <w:rPr>
          <w:rFonts w:hint="eastAsia" w:ascii="黑体" w:hAnsi="黑体" w:eastAsia="黑体"/>
          <w:bCs/>
          <w:color w:val="000000"/>
          <w:sz w:val="32"/>
          <w:szCs w:val="32"/>
        </w:rPr>
        <w:t>6.高等教育研究</w:t>
      </w:r>
    </w:p>
    <w:p w14:paraId="7BD807E3">
      <w:pPr>
        <w:adjustRightInd w:val="0"/>
        <w:snapToGrid w:val="0"/>
        <w:spacing w:line="560" w:lineRule="exact"/>
        <w:ind w:firstLine="640" w:firstLineChars="200"/>
        <w:rPr>
          <w:rFonts w:hint="eastAsia" w:ascii="仿宋" w:hAnsi="仿宋" w:eastAsia="仿宋"/>
          <w:color w:val="000000"/>
          <w:sz w:val="32"/>
          <w:szCs w:val="32"/>
        </w:rPr>
      </w:pPr>
      <w:r>
        <w:rPr>
          <w:rFonts w:hint="eastAsia" w:ascii="仿宋_GB2312" w:hAnsi="仿宋_GB2312" w:eastAsia="仿宋_GB2312" w:cs="仿宋_GB2312"/>
          <w:color w:val="000000"/>
          <w:sz w:val="32"/>
          <w:szCs w:val="32"/>
        </w:rPr>
        <w:t>高等教育分类改革研究；高等教育布局研究；中国特色、世界一流的大学和优势学科建设研究；高校毕业生高质量就业服务体系研究；江苏高校人工智能学科建设与人才培养研究；江苏高校人工智能通识教育研究；江苏高水平大学集群（如苏锡常、南京高校群）协同发展研究；江苏高校服务产业转型升级与战略性新兴产业崛起的对接机制与实现路径研究；高等教育赋能新质生产力发展的内在逻辑与实践进路研究；高等教育服务创新高地建设研究；江苏本科高校教学质量监测体系构建研究；高校人才培养模式改革与质量提升研究；高校分类标准及评价体系研究；普通高校本科教学质量标准研究；高校拔尖创新人才培养模式研究；普通高校本科教学质量标准研究；研究生招生制度改革研究；研究生教育质量监督保障机制研究；高校毕业生就业状况统计及监测研究；高校学风建设与学术规范教育研究</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高校群团工作研究等。</w:t>
      </w:r>
    </w:p>
    <w:p w14:paraId="4847C932">
      <w:pPr>
        <w:adjustRightInd w:val="0"/>
        <w:snapToGrid w:val="0"/>
        <w:spacing w:line="560" w:lineRule="exact"/>
        <w:ind w:firstLine="640" w:firstLineChars="200"/>
        <w:rPr>
          <w:rFonts w:hint="eastAsia" w:ascii="黑体" w:hAnsi="黑体" w:eastAsia="黑体"/>
          <w:bCs/>
          <w:color w:val="000000"/>
          <w:sz w:val="32"/>
          <w:szCs w:val="32"/>
        </w:rPr>
      </w:pPr>
      <w:r>
        <w:rPr>
          <w:rFonts w:hint="eastAsia" w:ascii="黑体" w:hAnsi="黑体" w:eastAsia="黑体"/>
          <w:bCs/>
          <w:color w:val="000000"/>
          <w:sz w:val="32"/>
          <w:szCs w:val="32"/>
          <w:lang w:val="en-US" w:eastAsia="zh-CN"/>
        </w:rPr>
        <w:t>7</w:t>
      </w:r>
      <w:r>
        <w:rPr>
          <w:rFonts w:hint="eastAsia" w:ascii="黑体" w:hAnsi="黑体" w:eastAsia="黑体"/>
          <w:bCs/>
          <w:color w:val="000000"/>
          <w:sz w:val="32"/>
          <w:szCs w:val="32"/>
        </w:rPr>
        <w:t>.</w:t>
      </w:r>
      <w:r>
        <w:rPr>
          <w:rFonts w:hint="eastAsia" w:ascii="黑体" w:hAnsi="黑体" w:eastAsia="黑体"/>
          <w:bCs/>
          <w:color w:val="000000"/>
          <w:sz w:val="32"/>
          <w:szCs w:val="32"/>
          <w:lang w:val="en-US" w:eastAsia="zh-CN"/>
        </w:rPr>
        <w:t>终身</w:t>
      </w:r>
      <w:r>
        <w:rPr>
          <w:rFonts w:hint="eastAsia" w:ascii="黑体" w:hAnsi="黑体" w:eastAsia="黑体"/>
          <w:bCs/>
          <w:color w:val="000000"/>
          <w:sz w:val="32"/>
          <w:szCs w:val="32"/>
        </w:rPr>
        <w:t>教育研究</w:t>
      </w:r>
    </w:p>
    <w:p w14:paraId="76A1AF87">
      <w:pPr>
        <w:adjustRightInd w:val="0"/>
        <w:snapToGrid w:val="0"/>
        <w:spacing w:line="560" w:lineRule="exact"/>
        <w:ind w:firstLine="640" w:firstLineChars="200"/>
        <w:rPr>
          <w:rFonts w:hint="eastAsia" w:ascii="仿宋" w:hAnsi="仿宋" w:eastAsia="仿宋"/>
          <w:color w:val="000000"/>
          <w:sz w:val="32"/>
          <w:szCs w:val="32"/>
        </w:rPr>
      </w:pPr>
      <w:r>
        <w:rPr>
          <w:rFonts w:hint="eastAsia" w:ascii="仿宋_GB2312" w:hAnsi="仿宋_GB2312" w:eastAsia="仿宋_GB2312" w:cs="仿宋_GB2312"/>
          <w:color w:val="000000"/>
          <w:sz w:val="32"/>
          <w:szCs w:val="32"/>
        </w:rPr>
        <w:t>学习型城市、学习型社区建设研究；开放大学的功能定位与管理体制机制研究；AI赋能的终身学习平台建设研究；信息化环境下学习型社会的内涵建设研究；学校和社区互动与合作研究；继续教育的制度建设与资源整合研究；教师继续教育创新研究；“国培与省培计划”实施的模式创新及有效性研究；闲暇教育研究；成人教育的质量保障研究等。</w:t>
      </w:r>
    </w:p>
    <w:p w14:paraId="1D189688">
      <w:pPr>
        <w:adjustRightInd w:val="0"/>
        <w:snapToGrid w:val="0"/>
        <w:spacing w:line="560" w:lineRule="exact"/>
        <w:ind w:firstLine="640" w:firstLineChars="200"/>
        <w:rPr>
          <w:rFonts w:hint="eastAsia" w:ascii="黑体" w:hAnsi="黑体" w:eastAsia="黑体"/>
          <w:bCs/>
          <w:color w:val="000000"/>
          <w:sz w:val="32"/>
          <w:szCs w:val="32"/>
        </w:rPr>
      </w:pPr>
      <w:r>
        <w:rPr>
          <w:rFonts w:hint="eastAsia" w:ascii="黑体" w:hAnsi="黑体" w:eastAsia="黑体"/>
          <w:bCs/>
          <w:color w:val="000000"/>
          <w:sz w:val="32"/>
          <w:szCs w:val="32"/>
          <w:lang w:val="en-US" w:eastAsia="zh-CN"/>
        </w:rPr>
        <w:t>8</w:t>
      </w:r>
      <w:r>
        <w:rPr>
          <w:rFonts w:hint="eastAsia" w:ascii="黑体" w:hAnsi="黑体" w:eastAsia="黑体"/>
          <w:bCs/>
          <w:color w:val="000000"/>
          <w:sz w:val="32"/>
          <w:szCs w:val="32"/>
        </w:rPr>
        <w:t>.教育数字化研究</w:t>
      </w:r>
    </w:p>
    <w:p w14:paraId="11783098">
      <w:pPr>
        <w:adjustRightInd w:val="0"/>
        <w:snapToGrid w:val="0"/>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新型数字教育资源建设研究；数字赋能大规模因材施教的途径研究；师生数字素养标准研究；大数据、人工智能推进教育评价发展研究；数智技术支撑下学习型社会的内涵及构建策略研究；惠及全民的教育信息化支撑体系应用研究；基于云计算的区域教育资源公共服务模式研究；数字化教育装备开发与应用研究；信息化学习方式的变革及影响因素研究；在线学习分析模式与工具研究；农村中小学</w:t>
      </w:r>
      <w:r>
        <w:rPr>
          <w:rFonts w:hint="eastAsia" w:ascii="仿宋_GB2312" w:hAnsi="仿宋_GB2312" w:eastAsia="仿宋_GB2312" w:cs="仿宋_GB2312"/>
          <w:color w:val="000000"/>
          <w:sz w:val="32"/>
          <w:szCs w:val="32"/>
          <w:lang w:val="en-US" w:eastAsia="zh-CN"/>
        </w:rPr>
        <w:t>教育数字化建设</w:t>
      </w:r>
      <w:r>
        <w:rPr>
          <w:rFonts w:hint="eastAsia" w:ascii="仿宋_GB2312" w:hAnsi="仿宋_GB2312" w:eastAsia="仿宋_GB2312" w:cs="仿宋_GB2312"/>
          <w:color w:val="000000"/>
          <w:sz w:val="32"/>
          <w:szCs w:val="32"/>
        </w:rPr>
        <w:t>研究；数智技术赋能继续教育的创新与发展研究等。</w:t>
      </w:r>
    </w:p>
    <w:p w14:paraId="12A9D514">
      <w:pPr>
        <w:adjustRightInd w:val="0"/>
        <w:snapToGrid w:val="0"/>
        <w:spacing w:line="560" w:lineRule="exact"/>
        <w:ind w:firstLine="640" w:firstLineChars="200"/>
        <w:rPr>
          <w:rFonts w:hint="eastAsia" w:ascii="黑体" w:hAnsi="黑体" w:eastAsia="黑体"/>
          <w:bCs/>
          <w:color w:val="000000"/>
          <w:sz w:val="32"/>
          <w:szCs w:val="32"/>
        </w:rPr>
      </w:pPr>
      <w:r>
        <w:rPr>
          <w:rFonts w:hint="eastAsia" w:ascii="黑体" w:hAnsi="黑体" w:eastAsia="黑体"/>
          <w:bCs/>
          <w:color w:val="000000"/>
          <w:sz w:val="32"/>
          <w:szCs w:val="32"/>
          <w:lang w:val="en-US" w:eastAsia="zh-CN"/>
        </w:rPr>
        <w:t>9</w:t>
      </w:r>
      <w:r>
        <w:rPr>
          <w:rFonts w:hint="eastAsia" w:ascii="黑体" w:hAnsi="黑体" w:eastAsia="黑体"/>
          <w:bCs/>
          <w:color w:val="000000"/>
          <w:sz w:val="32"/>
          <w:szCs w:val="32"/>
        </w:rPr>
        <w:t>.国际合作与比较教育研究</w:t>
      </w:r>
    </w:p>
    <w:p w14:paraId="025C0563">
      <w:pPr>
        <w:adjustRightInd w:val="0"/>
        <w:snapToGrid w:val="0"/>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开放互鉴的教育国际合作体系研究；中国教育在世界教育发展格局中的地位研究；创新型国家发展过程中教育改革的比较研究；合作办学模式比较研究；高校考试招生制度的比较研究；大学通识教育模式的比较研究；高中多样化发展</w:t>
      </w:r>
      <w:bookmarkStart w:id="0" w:name="_GoBack"/>
      <w:bookmarkEnd w:id="0"/>
      <w:r>
        <w:rPr>
          <w:rFonts w:hint="eastAsia" w:ascii="仿宋_GB2312" w:hAnsi="仿宋_GB2312" w:eastAsia="仿宋_GB2312" w:cs="仿宋_GB2312"/>
          <w:color w:val="000000"/>
          <w:sz w:val="32"/>
          <w:szCs w:val="32"/>
        </w:rPr>
        <w:t>的比较研究；普通高中课程方案与课程管理制度的国际比较研究；</w:t>
      </w:r>
      <w:r>
        <w:rPr>
          <w:rFonts w:hint="eastAsia" w:ascii="仿宋_GB2312" w:hAnsi="仿宋_GB2312" w:eastAsia="仿宋_GB2312" w:cs="仿宋_GB2312"/>
          <w:color w:val="000000"/>
          <w:sz w:val="32"/>
          <w:szCs w:val="32"/>
          <w:lang w:val="en-US" w:eastAsia="zh-CN"/>
        </w:rPr>
        <w:t>科技</w:t>
      </w:r>
      <w:r>
        <w:rPr>
          <w:rFonts w:hint="eastAsia" w:ascii="仿宋_GB2312" w:hAnsi="仿宋_GB2312" w:eastAsia="仿宋_GB2312" w:cs="仿宋_GB2312"/>
          <w:color w:val="000000"/>
          <w:sz w:val="32"/>
          <w:szCs w:val="32"/>
        </w:rPr>
        <w:t>教育的国际比较研究；中外学校体育教育模式的比较研究；拔尖创新人才培养的国际比较研究等。</w:t>
      </w:r>
    </w:p>
    <w:p w14:paraId="0F25ABF7">
      <w:pPr>
        <w:adjustRightInd w:val="0"/>
        <w:snapToGrid w:val="0"/>
        <w:spacing w:line="560" w:lineRule="exact"/>
        <w:ind w:firstLine="640" w:firstLineChars="200"/>
        <w:rPr>
          <w:rFonts w:hint="eastAsia" w:ascii="黑体" w:hAnsi="黑体" w:eastAsia="黑体"/>
          <w:bCs/>
          <w:color w:val="000000"/>
          <w:sz w:val="32"/>
          <w:szCs w:val="32"/>
        </w:rPr>
      </w:pPr>
      <w:r>
        <w:rPr>
          <w:rFonts w:hint="eastAsia" w:ascii="黑体" w:hAnsi="黑体" w:eastAsia="黑体"/>
          <w:bCs/>
          <w:color w:val="000000"/>
          <w:sz w:val="32"/>
          <w:szCs w:val="32"/>
          <w:lang w:val="en-US" w:eastAsia="zh-CN"/>
        </w:rPr>
        <w:t>10</w:t>
      </w:r>
      <w:r>
        <w:rPr>
          <w:rFonts w:hint="eastAsia" w:ascii="黑体" w:hAnsi="黑体" w:eastAsia="黑体"/>
          <w:bCs/>
          <w:color w:val="000000"/>
          <w:sz w:val="32"/>
          <w:szCs w:val="32"/>
        </w:rPr>
        <w:t>.体卫艺与国防教育研究</w:t>
      </w:r>
    </w:p>
    <w:p w14:paraId="59282385">
      <w:pPr>
        <w:adjustRightInd w:val="0"/>
        <w:snapToGrid w:val="0"/>
        <w:spacing w:line="560" w:lineRule="exact"/>
        <w:ind w:firstLine="640" w:firstLineChars="200"/>
        <w:rPr>
          <w:rFonts w:hint="eastAsia" w:ascii="黑体" w:hAnsi="黑体" w:eastAsia="黑体"/>
          <w:bCs/>
          <w:color w:val="000000"/>
          <w:sz w:val="32"/>
          <w:szCs w:val="32"/>
          <w:lang w:val="en-US" w:eastAsia="zh-CN"/>
        </w:rPr>
      </w:pPr>
      <w:r>
        <w:rPr>
          <w:rFonts w:hint="eastAsia" w:ascii="仿宋_GB2312" w:hAnsi="仿宋_GB2312" w:eastAsia="仿宋_GB2312" w:cs="仿宋_GB2312"/>
          <w:color w:val="000000"/>
          <w:sz w:val="32"/>
          <w:szCs w:val="32"/>
        </w:rPr>
        <w:t>“健康第一”落实策略研究；学生体质强健计划落实研究；学校美育浸润行动研究；大中小学国防教育研究；电子竞技（数字体育）的学校体育课程化研究；学校体育理论创新与发展研究；大中小学体育目标衔接、课程与教学改革研究；学生审美品质和能力培养研究；在职中小学艺术教师专业发展研究；中华优秀传统文化传承研究；学校突发公共卫生事件防控体系建设研究；学生健康素养评价指标体系研究；青少年近视与肥胖问题干预研究等。</w:t>
      </w:r>
    </w:p>
    <w:p w14:paraId="62F1E5F6">
      <w:pPr>
        <w:adjustRightInd w:val="0"/>
        <w:snapToGrid w:val="0"/>
        <w:spacing w:line="560" w:lineRule="exact"/>
        <w:ind w:firstLine="640" w:firstLineChars="200"/>
        <w:rPr>
          <w:rFonts w:hint="eastAsia" w:ascii="仿宋" w:hAnsi="仿宋" w:eastAsia="黑体"/>
          <w:b/>
          <w:color w:val="000000"/>
          <w:sz w:val="32"/>
          <w:szCs w:val="32"/>
        </w:rPr>
      </w:pPr>
      <w:r>
        <w:rPr>
          <w:rFonts w:hint="eastAsia" w:ascii="黑体" w:hAnsi="黑体" w:eastAsia="黑体"/>
          <w:bCs/>
          <w:color w:val="000000"/>
          <w:sz w:val="32"/>
          <w:szCs w:val="32"/>
          <w:lang w:val="en-US" w:eastAsia="zh-CN"/>
        </w:rPr>
        <w:t>11</w:t>
      </w:r>
      <w:r>
        <w:rPr>
          <w:rFonts w:hint="eastAsia" w:ascii="黑体" w:hAnsi="黑体" w:eastAsia="黑体"/>
          <w:bCs/>
          <w:color w:val="000000"/>
          <w:sz w:val="32"/>
          <w:szCs w:val="32"/>
        </w:rPr>
        <w:t>.教育经济与管理研究</w:t>
      </w:r>
    </w:p>
    <w:p w14:paraId="25F5F659">
      <w:pPr>
        <w:adjustRightInd w:val="0"/>
        <w:snapToGrid w:val="0"/>
        <w:spacing w:line="560" w:lineRule="exact"/>
        <w:ind w:firstLine="640" w:firstLineChars="200"/>
        <w:rPr>
          <w:rFonts w:hint="eastAsia" w:ascii="黑体" w:hAnsi="黑体" w:eastAsia="黑体"/>
          <w:bCs/>
          <w:color w:val="000000"/>
          <w:sz w:val="32"/>
          <w:szCs w:val="32"/>
        </w:rPr>
      </w:pPr>
      <w:r>
        <w:rPr>
          <w:rFonts w:hint="eastAsia" w:ascii="仿宋_GB2312" w:hAnsi="仿宋_GB2312" w:eastAsia="仿宋_GB2312" w:cs="仿宋_GB2312"/>
          <w:color w:val="000000"/>
          <w:sz w:val="32"/>
          <w:szCs w:val="32"/>
        </w:rPr>
        <w:t>教育经费统计体系建设研究；全学段学生资助体系研究；教育经费监管和绩效评价研究；教育家精神融入教师职后培训的机制与路径研究；中小学区域教师均衡配置问题与对策研究；信息技术赋能考试评价改革研究；督政、督学、评估监测教育督导体系建设研究；校外培训机构治理与监管研究；新时代高水平综合性大学教师教育创新发展的路径研究；教育强省战略背景下教育经费投入的总体格局与政策取向研究；教育经费使用效益研究；教育督导管理模式和运行机制研究；现代学校治理体系构建研究；现代教师教育体系构建研究；免费定向师范生培养和使用机制研究等。</w:t>
      </w:r>
    </w:p>
    <w:p w14:paraId="31ECF3E6">
      <w:pPr>
        <w:adjustRightInd w:val="0"/>
        <w:snapToGrid w:val="0"/>
        <w:spacing w:line="560" w:lineRule="exact"/>
        <w:ind w:firstLine="640" w:firstLineChars="200"/>
        <w:rPr>
          <w:rFonts w:hint="eastAsia" w:ascii="黑体" w:hAnsi="黑体" w:eastAsia="黑体"/>
          <w:bCs/>
          <w:color w:val="000000"/>
          <w:sz w:val="32"/>
          <w:szCs w:val="32"/>
        </w:rPr>
      </w:pPr>
      <w:r>
        <w:rPr>
          <w:rFonts w:hint="eastAsia" w:ascii="黑体" w:hAnsi="黑体" w:eastAsia="黑体"/>
          <w:bCs/>
          <w:color w:val="000000"/>
          <w:sz w:val="32"/>
          <w:szCs w:val="32"/>
        </w:rPr>
        <w:t>1</w:t>
      </w:r>
      <w:r>
        <w:rPr>
          <w:rFonts w:hint="eastAsia" w:ascii="黑体" w:hAnsi="黑体" w:eastAsia="黑体"/>
          <w:bCs/>
          <w:color w:val="000000"/>
          <w:sz w:val="32"/>
          <w:szCs w:val="32"/>
          <w:lang w:val="en-US" w:eastAsia="zh-CN"/>
        </w:rPr>
        <w:t>2</w:t>
      </w:r>
      <w:r>
        <w:rPr>
          <w:rFonts w:hint="eastAsia" w:ascii="黑体" w:hAnsi="黑体" w:eastAsia="黑体"/>
          <w:bCs/>
          <w:color w:val="000000"/>
          <w:sz w:val="32"/>
          <w:szCs w:val="32"/>
        </w:rPr>
        <w:t>.教育发展史研究</w:t>
      </w:r>
    </w:p>
    <w:p w14:paraId="7D0B9A40">
      <w:pPr>
        <w:adjustRightInd w:val="0"/>
        <w:snapToGrid w:val="0"/>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改革开放以来江苏高等教育政策演变研究；江苏教师史研究；江苏教育家研究；江苏近代教育发展史研究；江苏高校与地方互动关系史研究；中国城市教育史研究；中国教育研究史研究；世界主要国家现代学校教育制度的演进研究；欧美职业技术教育史研究等。</w:t>
      </w: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7B1F010-0243-4AF7-8594-76E0C749FDA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A00002BF" w:usb1="184F6CFA" w:usb2="00000012" w:usb3="00000000" w:csb0="00040001" w:csb1="00000000"/>
    <w:embedRegular r:id="rId2" w:fontKey="{81BADB50-30E4-4849-9790-B58BCAAB5239}"/>
  </w:font>
  <w:font w:name="方正小标宋_GBK">
    <w:panose1 w:val="02000000000000000000"/>
    <w:charset w:val="86"/>
    <w:family w:val="script"/>
    <w:pitch w:val="default"/>
    <w:sig w:usb0="A00002BF" w:usb1="38CF7CFA" w:usb2="00082016" w:usb3="00000000" w:csb0="00040001" w:csb1="00000000"/>
    <w:embedRegular r:id="rId3" w:fontKey="{3D728699-00D3-4586-942D-3F845C20F835}"/>
  </w:font>
  <w:font w:name="仿宋_GB2312">
    <w:panose1 w:val="02010609030101010101"/>
    <w:charset w:val="86"/>
    <w:family w:val="modern"/>
    <w:pitch w:val="default"/>
    <w:sig w:usb0="00000001" w:usb1="080E0000" w:usb2="00000000" w:usb3="00000000" w:csb0="00040000" w:csb1="00000000"/>
    <w:embedRegular r:id="rId4" w:fontKey="{5EA6FBCC-59F8-4049-9950-9359C369DDF7}"/>
  </w:font>
  <w:font w:name="仿宋">
    <w:panose1 w:val="02010609060101010101"/>
    <w:charset w:val="86"/>
    <w:family w:val="modern"/>
    <w:pitch w:val="default"/>
    <w:sig w:usb0="800002BF" w:usb1="38CF7CFA" w:usb2="00000016" w:usb3="00000000" w:csb0="00040001" w:csb1="00000000"/>
    <w:embedRegular r:id="rId5" w:fontKey="{CDC5583E-91EB-4F18-8979-EA153D03914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693B87">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A230A9">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1A230A9">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zZTZhYjU1Y2JmZjZjNTM2NDAwYzYwYzYwMDZhZDcifQ=="/>
  </w:docVars>
  <w:rsids>
    <w:rsidRoot w:val="5AA1013B"/>
    <w:rsid w:val="00767564"/>
    <w:rsid w:val="007C62EF"/>
    <w:rsid w:val="008A3AEF"/>
    <w:rsid w:val="008D6A8F"/>
    <w:rsid w:val="00920656"/>
    <w:rsid w:val="009C6AB8"/>
    <w:rsid w:val="009F17E1"/>
    <w:rsid w:val="00A951E7"/>
    <w:rsid w:val="00BD7707"/>
    <w:rsid w:val="00C222E1"/>
    <w:rsid w:val="00C7674D"/>
    <w:rsid w:val="00D61758"/>
    <w:rsid w:val="00F654D9"/>
    <w:rsid w:val="013C06BC"/>
    <w:rsid w:val="01795756"/>
    <w:rsid w:val="01D5568A"/>
    <w:rsid w:val="05057A03"/>
    <w:rsid w:val="0AF74611"/>
    <w:rsid w:val="0DD95C2A"/>
    <w:rsid w:val="0DF04F6A"/>
    <w:rsid w:val="0EC01471"/>
    <w:rsid w:val="19B42587"/>
    <w:rsid w:val="1E0A0BDD"/>
    <w:rsid w:val="203E0D63"/>
    <w:rsid w:val="22FA0480"/>
    <w:rsid w:val="246A1821"/>
    <w:rsid w:val="261D3EA3"/>
    <w:rsid w:val="2C7129CB"/>
    <w:rsid w:val="36203DF1"/>
    <w:rsid w:val="3C6F2444"/>
    <w:rsid w:val="411E1BF1"/>
    <w:rsid w:val="435E2995"/>
    <w:rsid w:val="46C16C66"/>
    <w:rsid w:val="4A053F71"/>
    <w:rsid w:val="4DA17DEE"/>
    <w:rsid w:val="4DEC7AF2"/>
    <w:rsid w:val="4EC20110"/>
    <w:rsid w:val="50666C7A"/>
    <w:rsid w:val="5AA1013B"/>
    <w:rsid w:val="5CAB5733"/>
    <w:rsid w:val="5CD16642"/>
    <w:rsid w:val="6255117F"/>
    <w:rsid w:val="6C764577"/>
    <w:rsid w:val="6E944BF5"/>
    <w:rsid w:val="740F05B4"/>
    <w:rsid w:val="74477EFB"/>
    <w:rsid w:val="78AA735F"/>
    <w:rsid w:val="7CB30BC6"/>
    <w:rsid w:val="7E5001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Revision"/>
    <w:hidden/>
    <w:unhideWhenUsed/>
    <w:qFormat/>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3481</Words>
  <Characters>3500</Characters>
  <Lines>2819</Lines>
  <Paragraphs>467</Paragraphs>
  <TotalTime>24</TotalTime>
  <ScaleCrop>false</ScaleCrop>
  <LinksUpToDate>false</LinksUpToDate>
  <CharactersWithSpaces>3500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2024-06-18T08:15:00Z</dcterms:created>
  <dc:creator>xuliang2</dc:creator>
  <cp:lastModifiedBy>xuliang2</cp:lastModifiedBy>
  <cp:lastPrinted>2025-05-28T01:29:00Z</cp:lastPrinted>
  <dcterms:modified xsi:type="dcterms:W3CDTF">2025-06-04T01:12:54Z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B3DA231FB5BB49E8B80F1F3351347AB2_13</vt:lpwstr>
  </property>
  <property fmtid="{D5CDD505-2E9C-101B-9397-08002B2CF9AE}" pid="4" name="KSOTemplateDocerSaveRecord">
    <vt:lpwstr>eyJoZGlkIjoiNzEzZTZhYjU1Y2JmZjZjNTM2NDAwYzYwYzYwMDZhZDciLCJ1c2VySWQiOiI0MjUyMzc3NjQifQ==</vt:lpwstr>
  </property>
</Properties>
</file>